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Varianti in corso d'opera a permessi di costruire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varianti a permessi di costruire che non incidono sui parametri urbanistici e sulle volumetrie, che non comportano mutamenti urbanisticamente rilevanti della destinazione d'uso, che non modificano la categoria edilizia, non alterano la sagoma dell'edificio qualora sottoposto ai vincoli ai sensi del decreto legislativo 22 gennaio 2004 n. 42, e non violano le eventuali prescrizioni contenute nel permesso di costruire. Ai fini dell'attivita' di vigilanza urbanistica ed edilizia, nonche' ai fini del rilascio del certificato di agibilita', tali segnalazioni certificati di inizio attivita' costituiscono parte integrante del procedimento relativo al permesso di costruzione dell'intervento principale e possono essere presentate prima della dichiarazione di ultimazione dei lavori.</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